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915" w:type="dxa"/>
        <w:jc w:val="center"/>
        <w:tblLayout w:type="fixed"/>
        <w:tblCellMar>
          <w:top w:w="0" w:type="dxa"/>
          <w:left w:w="0" w:type="dxa"/>
          <w:bottom w:w="0" w:type="dxa"/>
          <w:right w:w="0" w:type="dxa"/>
        </w:tblCellMar>
      </w:tblPr>
      <w:tblGrid>
        <w:gridCol w:w="944"/>
        <w:gridCol w:w="2268"/>
        <w:gridCol w:w="1587"/>
        <w:gridCol w:w="2381"/>
        <w:gridCol w:w="567"/>
        <w:gridCol w:w="1247"/>
        <w:gridCol w:w="567"/>
        <w:gridCol w:w="2154"/>
        <w:gridCol w:w="680"/>
        <w:gridCol w:w="907"/>
        <w:gridCol w:w="2608"/>
      </w:tblGrid>
      <w:tr>
        <w:tblPrEx>
          <w:tblCellMar>
            <w:top w:w="0" w:type="dxa"/>
            <w:left w:w="0" w:type="dxa"/>
            <w:bottom w:w="0" w:type="dxa"/>
            <w:right w:w="0" w:type="dxa"/>
          </w:tblCellMar>
        </w:tblPrEx>
        <w:trPr>
          <w:trHeight w:val="425" w:hRule="atLeast"/>
          <w:jc w:val="center"/>
        </w:trPr>
        <w:tc>
          <w:tcPr>
            <w:tcW w:w="15915" w:type="dxa"/>
            <w:gridSpan w:val="11"/>
            <w:vAlign w:val="center"/>
          </w:tcPr>
          <w:p>
            <w:pPr>
              <w:keepNext w:val="0"/>
              <w:keepLines w:val="0"/>
              <w:suppressLineNumbers w:val="0"/>
              <w:spacing w:before="40" w:beforeAutospacing="0" w:after="40" w:afterAutospacing="0"/>
              <w:ind w:left="40" w:right="4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附件：</w:t>
            </w:r>
          </w:p>
          <w:p>
            <w:pPr>
              <w:keepNext w:val="0"/>
              <w:keepLines w:val="0"/>
              <w:suppressLineNumbers w:val="0"/>
              <w:spacing w:before="40" w:beforeAutospacing="0" w:after="40" w:afterAutospacing="0"/>
              <w:ind w:left="40" w:right="40"/>
              <w:jc w:val="left"/>
              <w:rPr>
                <w:rFonts w:hint="eastAsia" w:ascii="黑体" w:hAnsi="黑体" w:eastAsia="黑体" w:cs="黑体"/>
                <w:b/>
                <w:color w:val="000000"/>
                <w:sz w:val="32"/>
                <w:szCs w:val="32"/>
              </w:rPr>
            </w:pPr>
          </w:p>
        </w:tc>
      </w:tr>
      <w:tr>
        <w:tblPrEx>
          <w:tblCellMar>
            <w:top w:w="0" w:type="dxa"/>
            <w:left w:w="0" w:type="dxa"/>
            <w:bottom w:w="0" w:type="dxa"/>
            <w:right w:w="0" w:type="dxa"/>
          </w:tblCellMar>
        </w:tblPrEx>
        <w:trPr>
          <w:trHeight w:val="907" w:hRule="atLeast"/>
          <w:jc w:val="center"/>
        </w:trPr>
        <w:tc>
          <w:tcPr>
            <w:tcW w:w="15915" w:type="dxa"/>
            <w:gridSpan w:val="11"/>
            <w:vAlign w:val="center"/>
          </w:tcPr>
          <w:p>
            <w:pPr>
              <w:keepNext w:val="0"/>
              <w:keepLines w:val="0"/>
              <w:suppressLineNumbers w:val="0"/>
              <w:spacing w:before="40" w:beforeAutospacing="0" w:after="40" w:afterAutospacing="0"/>
              <w:ind w:left="40" w:right="40"/>
              <w:jc w:val="center"/>
              <w:rPr>
                <w:rFonts w:hint="eastAsia" w:ascii="方正小标宋简体" w:hAnsi="方正小标宋简体" w:eastAsia="方正小标宋简体" w:cs="方正小标宋简体"/>
                <w:b/>
                <w:color w:val="000000"/>
                <w:sz w:val="32"/>
              </w:rPr>
            </w:pPr>
            <w:r>
              <w:rPr>
                <w:rFonts w:hint="eastAsia" w:ascii="方正小标宋简体" w:hAnsi="方正小标宋简体" w:eastAsia="方正小标宋简体" w:cs="方正小标宋简体"/>
                <w:b/>
                <w:color w:val="000000"/>
                <w:sz w:val="32"/>
                <w:lang w:eastAsia="zh-CN"/>
              </w:rPr>
              <w:t>《绵阳政事》、《绵阳发布》工作经费</w:t>
            </w:r>
            <w:r>
              <w:rPr>
                <w:rFonts w:hint="eastAsia" w:ascii="方正小标宋简体" w:hAnsi="方正小标宋简体" w:eastAsia="方正小标宋简体" w:cs="方正小标宋简体"/>
                <w:b/>
                <w:color w:val="000000"/>
                <w:sz w:val="32"/>
              </w:rPr>
              <w:t>项目支出绩效自评表（2022年度）</w:t>
            </w:r>
          </w:p>
        </w:tc>
      </w:tr>
      <w:tr>
        <w:tblPrEx>
          <w:tblCellMar>
            <w:top w:w="0" w:type="dxa"/>
            <w:left w:w="0" w:type="dxa"/>
            <w:bottom w:w="0" w:type="dxa"/>
            <w:right w:w="0" w:type="dxa"/>
          </w:tblCellMar>
        </w:tblPrEx>
        <w:trPr>
          <w:trHeight w:val="424" w:hRule="atLeast"/>
          <w:jc w:val="center"/>
        </w:trPr>
        <w:tc>
          <w:tcPr>
            <w:tcW w:w="9564" w:type="dxa"/>
            <w:gridSpan w:val="7"/>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单位(盖章)：绵阳日报社</w:t>
            </w:r>
          </w:p>
        </w:tc>
        <w:tc>
          <w:tcPr>
            <w:tcW w:w="2154" w:type="dxa"/>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6" w:type="dxa"/>
            <w:gridSpan w:val="3"/>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w:t>
            </w:r>
            <w:r>
              <w:rPr>
                <w:rFonts w:hint="eastAsia" w:ascii="微软雅黑" w:hAnsi="微软雅黑" w:eastAsia="微软雅黑" w:cs="微软雅黑"/>
                <w:color w:val="000000"/>
                <w:sz w:val="18"/>
                <w:lang w:val="en-US" w:eastAsia="zh-CN"/>
              </w:rPr>
              <w:t>9</w:t>
            </w:r>
            <w:r>
              <w:rPr>
                <w:rFonts w:hint="eastAsia" w:ascii="微软雅黑" w:hAnsi="微软雅黑" w:eastAsia="微软雅黑" w:cs="微软雅黑"/>
                <w:color w:val="000000"/>
                <w:sz w:val="18"/>
              </w:rPr>
              <w:t>月</w:t>
            </w:r>
            <w:r>
              <w:rPr>
                <w:rFonts w:hint="eastAsia" w:ascii="微软雅黑" w:hAnsi="微软雅黑" w:eastAsia="微软雅黑" w:cs="微软雅黑"/>
                <w:color w:val="000000"/>
                <w:sz w:val="18"/>
                <w:lang w:val="en-US" w:eastAsia="zh-CN"/>
              </w:rPr>
              <w:t>26</w:t>
            </w:r>
            <w:r>
              <w:rPr>
                <w:rFonts w:hint="eastAsia" w:ascii="微软雅黑" w:hAnsi="微软雅黑" w:eastAsia="微软雅黑" w:cs="微软雅黑"/>
                <w:color w:val="000000"/>
                <w:sz w:val="18"/>
              </w:rPr>
              <w:t>日</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701" w:type="dxa"/>
            <w:gridSpan w:val="9"/>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《绵阳政事》、《绵阳发布》工作经费</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50"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607-绵阳日报社本级部门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绵阳日报社</w:t>
            </w:r>
          </w:p>
        </w:tc>
      </w:tr>
      <w:tr>
        <w:tblPrEx>
          <w:tblCellMar>
            <w:top w:w="0" w:type="dxa"/>
            <w:left w:w="0" w:type="dxa"/>
            <w:bottom w:w="0" w:type="dxa"/>
            <w:right w:w="0" w:type="dxa"/>
          </w:tblCellMar>
        </w:tblPrEx>
        <w:trPr>
          <w:trHeight w:val="453"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预算执行率较低原因：预算执行率：100%。； 预算调整(调增/调减)原因：无预算调整。</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9"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50"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8619" w:type="dxa"/>
            <w:gridSpan w:val="6"/>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报道发布市委、市政府重大会议、重大活动、重要文件政策及解读；全市重要工作、重点项目推进情况；市政府部门（单位）出台的关系民生的重大事项；县市区重要新闻；重大突发事件信息发布；群众关心关注热点、重大民生问题回应；政务微信微博中开设重要时政、市内要闻、政策解读、新闻发布会、重点关注等栏目，底部菜单设置”重要会议“”权威发布“”我爱绵阳“三个信息集成板块，运用数字化、图标图解、音频视频等形式全年发布更新信息不少于2000条。</w:t>
            </w:r>
          </w:p>
        </w:tc>
        <w:tc>
          <w:tcPr>
            <w:tcW w:w="6350" w:type="dxa"/>
            <w:gridSpan w:val="4"/>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全年完成《绵阳政事》发布更新信息2218条；《绵阳发布》发布更新信息2218条。</w:t>
            </w: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该项目符合法律法规、相关政策、发展规划以及部门职责，项目立项有依据。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该项目是常年项目，申请、设立过程符合相关要求。</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该项目所设绩效目标包含成本、数量、时效、质量、 效益及满意度指标。</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该项目所设定的绩效目标与项目实施的相符情况，并且细化量化，可比可测。</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该项目预算编制与项目内容匹配，预算确定的项目资金量与工作任务相匹配。</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该项目预算资金分配有测算依据，与实际相适应，预算资金分配科学、合理。</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该项目实施单位的财务和业务管理制度健全，能够保障财务和业务管理制度对项目顺利实施。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该项目完成能够达到预期程度。</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该项目资金使用符合相关的财务管理制度规定，项目资金能够做到规范运行。</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该项目能够发挥财务监督职能。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1454"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购买平台技术服务</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600000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600000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全年发布更新信息</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条</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2218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平台宣传时效</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质量指标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平台宣传效果</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可持续影响指标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平台宣传查询年限</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对工作的促进作用</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好坏</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好</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读者满意度</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总分（折算分值） = “预算执行”10分+“绩效指标”60分（按60分折算）+“决策与过程指标”30分（按30分折算)</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分，自评等次为：优。项目自评得分100分。通过项目实施，顺利完成了市委、市政府重大会议、重大活动信息道发布；市政府重要文件政策及解读；全市重要工作、重点项目推进情况；市政府部门（单位）出台的、政府信息公开关系民生的重大事项；县市区重要新闻；重大突发事件信息发布；群众关心关注热点、重大民生问题回应；全年发布更新信息达到了4436条，实现了政务信息公开，回应了群众热点难点关切，走好了网络群众路线，发挥财政资金的最大使用效率。</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个别信息传播效果不理想。</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针对用户群体特点，精心选题，精心制作，提升质量，增强传播效果。</w:t>
            </w:r>
          </w:p>
        </w:tc>
      </w:tr>
      <w:tr>
        <w:tblPrEx>
          <w:tblCellMar>
            <w:top w:w="0" w:type="dxa"/>
            <w:left w:w="0" w:type="dxa"/>
            <w:bottom w:w="0" w:type="dxa"/>
            <w:right w:w="0" w:type="dxa"/>
          </w:tblCellMar>
        </w:tblPrEx>
        <w:trPr>
          <w:trHeight w:val="425" w:hRule="atLeast"/>
          <w:jc w:val="center"/>
        </w:trPr>
        <w:tc>
          <w:tcPr>
            <w:tcW w:w="7749"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项目负责人：李俊</w:t>
            </w:r>
          </w:p>
        </w:tc>
        <w:tc>
          <w:tcPr>
            <w:tcW w:w="8165"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财务负责人：李姗姗</w:t>
            </w:r>
          </w:p>
        </w:tc>
      </w:tr>
      <w:tr>
        <w:tblPrEx>
          <w:tblCellMar>
            <w:top w:w="0" w:type="dxa"/>
            <w:left w:w="0" w:type="dxa"/>
            <w:bottom w:w="0" w:type="dxa"/>
            <w:right w:w="0" w:type="dxa"/>
          </w:tblCellMar>
        </w:tblPrEx>
        <w:trPr>
          <w:trHeight w:val="425" w:hRule="atLeast"/>
          <w:jc w:val="center"/>
        </w:trPr>
        <w:tc>
          <w:tcPr>
            <w:tcW w:w="94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26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58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381"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24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15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680"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90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60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jc w:val="center"/>
        </w:trPr>
        <w:tc>
          <w:tcPr>
            <w:tcW w:w="15915" w:type="dxa"/>
            <w:gridSpan w:val="11"/>
            <w:vAlign w:val="center"/>
          </w:tcPr>
          <w:p>
            <w:pPr>
              <w:keepNext w:val="0"/>
              <w:keepLines w:val="0"/>
              <w:suppressLineNumbers w:val="0"/>
              <w:spacing w:before="40" w:beforeAutospacing="0" w:after="40" w:afterAutospacing="0"/>
              <w:ind w:left="40" w:right="40"/>
              <w:jc w:val="center"/>
              <w:rPr>
                <w:rFonts w:hint="eastAsia" w:ascii="黑体" w:hAnsi="黑体" w:eastAsia="黑体" w:cs="黑体"/>
                <w:b/>
                <w:color w:val="000000"/>
                <w:sz w:val="32"/>
              </w:rPr>
            </w:pPr>
            <w:r>
              <w:rPr>
                <w:rFonts w:hint="eastAsia" w:ascii="黑体" w:hAnsi="黑体" w:eastAsia="黑体" w:cs="黑体"/>
                <w:b/>
                <w:color w:val="000000"/>
                <w:sz w:val="32"/>
                <w:lang w:eastAsia="zh-CN"/>
              </w:rPr>
              <w:t>新冠总疫情防控经费项</w:t>
            </w:r>
            <w:r>
              <w:rPr>
                <w:rFonts w:hint="eastAsia" w:ascii="黑体" w:hAnsi="黑体" w:eastAsia="黑体" w:cs="黑体"/>
                <w:b/>
                <w:color w:val="000000"/>
                <w:sz w:val="32"/>
              </w:rPr>
              <w:t>目支出绩效自评表（2022年度）</w:t>
            </w:r>
          </w:p>
        </w:tc>
      </w:tr>
      <w:tr>
        <w:tblPrEx>
          <w:tblCellMar>
            <w:top w:w="0" w:type="dxa"/>
            <w:left w:w="0" w:type="dxa"/>
            <w:bottom w:w="0" w:type="dxa"/>
            <w:right w:w="0" w:type="dxa"/>
          </w:tblCellMar>
        </w:tblPrEx>
        <w:trPr>
          <w:trHeight w:val="424" w:hRule="atLeast"/>
          <w:jc w:val="center"/>
        </w:trPr>
        <w:tc>
          <w:tcPr>
            <w:tcW w:w="9564" w:type="dxa"/>
            <w:gridSpan w:val="7"/>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单位(盖章)：绵阳日报社</w:t>
            </w:r>
          </w:p>
        </w:tc>
        <w:tc>
          <w:tcPr>
            <w:tcW w:w="2154" w:type="dxa"/>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6" w:type="dxa"/>
            <w:gridSpan w:val="3"/>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w:t>
            </w:r>
            <w:r>
              <w:rPr>
                <w:rFonts w:hint="eastAsia" w:ascii="微软雅黑" w:hAnsi="微软雅黑" w:eastAsia="微软雅黑" w:cs="微软雅黑"/>
                <w:color w:val="000000"/>
                <w:sz w:val="18"/>
                <w:lang w:val="en-US" w:eastAsia="zh-CN"/>
              </w:rPr>
              <w:t>9</w:t>
            </w:r>
            <w:r>
              <w:rPr>
                <w:rFonts w:hint="eastAsia" w:ascii="微软雅黑" w:hAnsi="微软雅黑" w:eastAsia="微软雅黑" w:cs="微软雅黑"/>
                <w:color w:val="000000"/>
                <w:sz w:val="18"/>
              </w:rPr>
              <w:t>月</w:t>
            </w:r>
            <w:r>
              <w:rPr>
                <w:rFonts w:hint="eastAsia" w:ascii="微软雅黑" w:hAnsi="微软雅黑" w:eastAsia="微软雅黑" w:cs="微软雅黑"/>
                <w:color w:val="000000"/>
                <w:sz w:val="18"/>
                <w:lang w:val="en-US" w:eastAsia="zh-CN"/>
              </w:rPr>
              <w:t>26</w:t>
            </w:r>
            <w:r>
              <w:rPr>
                <w:rFonts w:hint="eastAsia" w:ascii="微软雅黑" w:hAnsi="微软雅黑" w:eastAsia="微软雅黑" w:cs="微软雅黑"/>
                <w:color w:val="000000"/>
                <w:sz w:val="18"/>
              </w:rPr>
              <w:t>日</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701" w:type="dxa"/>
            <w:gridSpan w:val="9"/>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2022年绵阳市市本级新冠病疫情防控经费</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50"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607-绵阳日报社本级部门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绵阳日报社</w:t>
            </w:r>
          </w:p>
        </w:tc>
      </w:tr>
      <w:tr>
        <w:tblPrEx>
          <w:tblCellMar>
            <w:top w:w="0" w:type="dxa"/>
            <w:left w:w="0" w:type="dxa"/>
            <w:bottom w:w="0" w:type="dxa"/>
            <w:right w:w="0" w:type="dxa"/>
          </w:tblCellMar>
        </w:tblPrEx>
        <w:trPr>
          <w:trHeight w:val="453"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预算执行率较低原因：预算执行率：100%。； 预算调整(调增/调减)原因：年中预算追加。组建疫情防控监督报道小组，推出报道，以融媒体监督促进各公共场所落实好常态化疫情防控，实现社会各界防疫自觉性明显提高。</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9"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50"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8619" w:type="dxa"/>
            <w:gridSpan w:val="6"/>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组建疫情防控监督报道小组，对全市公共场所、路口卡点、医疗机构等区域疫情防控进行暗访，计划暗访曝光点位700个/次，推出报道110篇，以融媒体监督促进各公共场所落实好常态化疫情防控，实现社会各界防疫自觉性明显提高。</w:t>
            </w:r>
          </w:p>
        </w:tc>
        <w:tc>
          <w:tcPr>
            <w:tcW w:w="6350" w:type="dxa"/>
            <w:gridSpan w:val="4"/>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涉疫情防控类稿件（含海报、短视频）采写243条，其中监督曝光点位超720个/次，并监督曝光点位存在的问题进行及时整改。通过项目的实施，各行各业落实疫情防控四方责任意识进一步加强，群众参与防疫、支持防疫的意识民意识加强。</w:t>
            </w: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该项目符合法律法规、相关政策、发展规划以及部门职责，项目立项有依据。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该项目申请、设立过程符合相关要求。</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该项目所设绩效目标包含成本、数量、时效、质量、 效益及满意度指标。</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该项目所设定的绩效目标与项目实施的相符情况，并且细化量化，可比可测。</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该项目预算编制与项目内容匹配，预算确定的项目资金量与工作任务相匹配。</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该项目预算资金分配有测算依据，与实际相适应，预算资金分配科学、合理。</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该项目实施单位的财务和业务管理制度健全，能够保障财务和业务管理制度对项目顺利实施。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该项目完成能够达到预期程度。</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该项目资金使用符合相关的财务管理制度规定，项目资金能够做到规范运行。</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该项目能够发挥财务监督职能。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1454"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新冠疫情防控经费</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250000元/年</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250000元/年</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效果指标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曝光点位及进整改</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700个/次</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个</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720个/次</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推出报道110篇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个</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110篇</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13.50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13.50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2022年度内完成</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市委市政府满意</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13.50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13.50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社会各界防疫自觉性明显提高</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好坏</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好</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读者满意度指标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读者受众都满意</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13.50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13.50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质量指标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曝光点位个（次）</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700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个</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700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13.50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13.50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总分（折算分值） = “预算执行”10分+“绩效指标”60分（按60分折算）+“决策与过程指标”30分（按30分折算)</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分，自评等次为：优。项目自评得分100分。通过项目的实施，多篇涉疫情防控报道受到市政府分管领导和市委宣传部表扬，其中2022年4月13日刊发的“这些地方的防疫值班值守，值了个‘寂寞’”受到市委主要领导表扬。同时，通过问题曝光和正面宣传引导相结合，社会各界防疫自觉性明显提高，群众对我市各项防疫工作有了更全面深入的了解，更加理解和支持我市的各项防疫工作，发挥财政资金的最大使用效率。</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项目开展初期，支付进度缓慢。</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项目中后期，按照项目整体执行进度支付项目经费。</w:t>
            </w:r>
          </w:p>
        </w:tc>
      </w:tr>
      <w:tr>
        <w:tblPrEx>
          <w:tblCellMar>
            <w:top w:w="0" w:type="dxa"/>
            <w:left w:w="0" w:type="dxa"/>
            <w:bottom w:w="0" w:type="dxa"/>
            <w:right w:w="0" w:type="dxa"/>
          </w:tblCellMar>
        </w:tblPrEx>
        <w:trPr>
          <w:trHeight w:val="425" w:hRule="atLeast"/>
          <w:jc w:val="center"/>
        </w:trPr>
        <w:tc>
          <w:tcPr>
            <w:tcW w:w="7749"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项目负责人：赵利宾</w:t>
            </w:r>
          </w:p>
        </w:tc>
        <w:tc>
          <w:tcPr>
            <w:tcW w:w="8165"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财务负责人：李姗姗</w:t>
            </w:r>
          </w:p>
        </w:tc>
      </w:tr>
      <w:tr>
        <w:tblPrEx>
          <w:tblCellMar>
            <w:top w:w="0" w:type="dxa"/>
            <w:left w:w="0" w:type="dxa"/>
            <w:bottom w:w="0" w:type="dxa"/>
            <w:right w:w="0" w:type="dxa"/>
          </w:tblCellMar>
        </w:tblPrEx>
        <w:trPr>
          <w:trHeight w:val="425" w:hRule="atLeast"/>
          <w:jc w:val="center"/>
        </w:trPr>
        <w:tc>
          <w:tcPr>
            <w:tcW w:w="94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26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58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381"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24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15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680"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90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60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jc w:val="center"/>
        </w:trPr>
        <w:tc>
          <w:tcPr>
            <w:tcW w:w="15915" w:type="dxa"/>
            <w:gridSpan w:val="11"/>
            <w:vAlign w:val="center"/>
          </w:tcPr>
          <w:p>
            <w:pPr>
              <w:keepNext w:val="0"/>
              <w:keepLines w:val="0"/>
              <w:suppressLineNumbers w:val="0"/>
              <w:spacing w:before="40" w:beforeAutospacing="0" w:after="40" w:afterAutospacing="0"/>
              <w:ind w:left="40" w:right="40"/>
              <w:jc w:val="center"/>
              <w:rPr>
                <w:rFonts w:hint="eastAsia" w:ascii="黑体" w:hAnsi="黑体" w:eastAsia="黑体" w:cs="黑体"/>
                <w:b/>
                <w:color w:val="000000"/>
                <w:sz w:val="32"/>
              </w:rPr>
            </w:pPr>
            <w:r>
              <w:rPr>
                <w:rFonts w:hint="eastAsia" w:ascii="黑体" w:hAnsi="黑体" w:eastAsia="黑体" w:cs="黑体"/>
                <w:b/>
                <w:color w:val="000000"/>
                <w:sz w:val="32"/>
                <w:lang w:eastAsia="zh-CN"/>
              </w:rPr>
              <w:t>外宣经费</w:t>
            </w:r>
            <w:r>
              <w:rPr>
                <w:rFonts w:hint="eastAsia" w:ascii="黑体" w:hAnsi="黑体" w:eastAsia="黑体" w:cs="黑体"/>
                <w:b/>
                <w:color w:val="000000"/>
                <w:sz w:val="32"/>
              </w:rPr>
              <w:t>项目支出绩效自评表（2022年度）</w:t>
            </w:r>
          </w:p>
        </w:tc>
      </w:tr>
      <w:tr>
        <w:tblPrEx>
          <w:tblCellMar>
            <w:top w:w="0" w:type="dxa"/>
            <w:left w:w="0" w:type="dxa"/>
            <w:bottom w:w="0" w:type="dxa"/>
            <w:right w:w="0" w:type="dxa"/>
          </w:tblCellMar>
        </w:tblPrEx>
        <w:trPr>
          <w:trHeight w:val="424" w:hRule="atLeast"/>
          <w:jc w:val="center"/>
        </w:trPr>
        <w:tc>
          <w:tcPr>
            <w:tcW w:w="9564" w:type="dxa"/>
            <w:gridSpan w:val="7"/>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单位(盖章)：绵阳日报社</w:t>
            </w:r>
          </w:p>
        </w:tc>
        <w:tc>
          <w:tcPr>
            <w:tcW w:w="2154" w:type="dxa"/>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6" w:type="dxa"/>
            <w:gridSpan w:val="3"/>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w:t>
            </w:r>
            <w:r>
              <w:rPr>
                <w:rFonts w:hint="eastAsia" w:ascii="微软雅黑" w:hAnsi="微软雅黑" w:eastAsia="微软雅黑" w:cs="微软雅黑"/>
                <w:color w:val="000000"/>
                <w:sz w:val="18"/>
                <w:lang w:val="en-US" w:eastAsia="zh-CN"/>
              </w:rPr>
              <w:t>9</w:t>
            </w:r>
            <w:r>
              <w:rPr>
                <w:rFonts w:hint="eastAsia" w:ascii="微软雅黑" w:hAnsi="微软雅黑" w:eastAsia="微软雅黑" w:cs="微软雅黑"/>
                <w:color w:val="000000"/>
                <w:sz w:val="18"/>
              </w:rPr>
              <w:t>月</w:t>
            </w:r>
            <w:r>
              <w:rPr>
                <w:rFonts w:hint="eastAsia" w:ascii="微软雅黑" w:hAnsi="微软雅黑" w:eastAsia="微软雅黑" w:cs="微软雅黑"/>
                <w:color w:val="000000"/>
                <w:sz w:val="18"/>
                <w:lang w:val="en-US" w:eastAsia="zh-CN"/>
              </w:rPr>
              <w:t>26</w:t>
            </w:r>
            <w:r>
              <w:rPr>
                <w:rFonts w:hint="eastAsia" w:ascii="微软雅黑" w:hAnsi="微软雅黑" w:eastAsia="微软雅黑" w:cs="微软雅黑"/>
                <w:color w:val="000000"/>
                <w:sz w:val="18"/>
              </w:rPr>
              <w:t>日</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701" w:type="dxa"/>
            <w:gridSpan w:val="9"/>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外宣经费</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50"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607-绵阳日报社本级部门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绵阳日报社</w:t>
            </w:r>
          </w:p>
        </w:tc>
      </w:tr>
      <w:tr>
        <w:tblPrEx>
          <w:tblCellMar>
            <w:top w:w="0" w:type="dxa"/>
            <w:left w:w="0" w:type="dxa"/>
            <w:bottom w:w="0" w:type="dxa"/>
            <w:right w:w="0" w:type="dxa"/>
          </w:tblCellMar>
        </w:tblPrEx>
        <w:trPr>
          <w:trHeight w:val="453"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198.00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5.37</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0.02</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0.27</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预算执行率较低原因：预算执行率：2%。该项目为跨年度项目。； 预算调整(调增/调减)原因：年中预算追加。深入落实全市新闻舆论工作座谈会及相关会议精神，“跳出绵阳看绵阳，跳出四川看绵阳”加强绵阳城市整体形象宣传。</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198.00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5.37</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0.02</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9"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50"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8619" w:type="dxa"/>
            <w:gridSpan w:val="6"/>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为深入落实全市新闻舆论工作座谈会及相关会议精神，“跳出绵阳看绵阳，跳出四川看绵阳”加强绵阳城市整体形象宣传，通过对“绵阳观察”改版升级、制作绵阳城市形象宣传画册、“纪录小康工程”建设、“我眼中的新绵阳”主题摄影大赛活动，对扩大绵阳对外影响，提升外宣质效，为服务宣传绵阳做出贡献。</w:t>
            </w:r>
          </w:p>
        </w:tc>
        <w:tc>
          <w:tcPr>
            <w:tcW w:w="6350" w:type="dxa"/>
            <w:gridSpan w:val="4"/>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该项目为跨年项目。预计2023年度全面完成。</w:t>
            </w: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该项目符合法律法规、相关政策、发展规划以及部门职责，项目立项有依据。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该项目为跨年项目，项目申请、设立过程符合相关要求。</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该项目所设绩效目标包含成本、数量、时效、质量、 效益及满意度指标。</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该项目所设定的绩效目标与项目实施的相符情况，并且细化量化，可比可测。</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该项目预算编制与项目内容匹配，预算确定的项目资金量与工作任务相匹配。</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该项目预算资金分配有测算依据，与实际相适应，预算资金分配科学、合理。</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该项目实施单位的财务和业务管理制度健全，能够保障财务和业务管理制度对项目顺利实施。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该项目完成能够达到预期程度。</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该项目资金使用符合相关的财务管理制度规定，项目资金能够做到规范运行。</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该项目能够发挥财务监督职能。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1454"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我眼中的新绵阳主题大赛专项经费</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万元</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5.37</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跨年项目</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评选优质摄影作品</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162幅</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个</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76幅</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跨年项目</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完成时间</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跨年项目</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展示宣传绵阳</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跨年项目</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读者满意度指标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群众满意度</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95%</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18.00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跨年项目</w:t>
            </w: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总分（折算分值） = “预算执行”10分+“绩效指标”60分（按60分折算）+“决策与过程指标”30分（按30分折算)</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90分，自评等次为：优。项目自评得分90分。该项目为跨年项目。通过对“绵阳观察”改版升级、制作绵阳城市形象宣传画册、“纪录小康工程”建设、“我眼中的新绵阳”主题摄影大赛活动，扩大绵阳对外影响，提升外宣质效，发挥财政资金的最大使用效率。</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该项目为跨年项目。</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按项目进度实施。</w:t>
            </w:r>
          </w:p>
        </w:tc>
      </w:tr>
      <w:tr>
        <w:tblPrEx>
          <w:tblCellMar>
            <w:top w:w="0" w:type="dxa"/>
            <w:left w:w="0" w:type="dxa"/>
            <w:bottom w:w="0" w:type="dxa"/>
            <w:right w:w="0" w:type="dxa"/>
          </w:tblCellMar>
        </w:tblPrEx>
        <w:trPr>
          <w:trHeight w:val="425" w:hRule="atLeast"/>
          <w:jc w:val="center"/>
        </w:trPr>
        <w:tc>
          <w:tcPr>
            <w:tcW w:w="7749"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项目负责人：江涛</w:t>
            </w:r>
          </w:p>
        </w:tc>
        <w:tc>
          <w:tcPr>
            <w:tcW w:w="8165"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财务负责人：李姗姗</w:t>
            </w:r>
          </w:p>
        </w:tc>
      </w:tr>
      <w:tr>
        <w:tblPrEx>
          <w:tblCellMar>
            <w:top w:w="0" w:type="dxa"/>
            <w:left w:w="0" w:type="dxa"/>
            <w:bottom w:w="0" w:type="dxa"/>
            <w:right w:w="0" w:type="dxa"/>
          </w:tblCellMar>
        </w:tblPrEx>
        <w:trPr>
          <w:trHeight w:val="425" w:hRule="atLeast"/>
          <w:jc w:val="center"/>
        </w:trPr>
        <w:tc>
          <w:tcPr>
            <w:tcW w:w="94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26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58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381"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24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15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680"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90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60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jc w:val="center"/>
        </w:trPr>
        <w:tc>
          <w:tcPr>
            <w:tcW w:w="15915" w:type="dxa"/>
            <w:gridSpan w:val="11"/>
            <w:vAlign w:val="center"/>
          </w:tcPr>
          <w:p>
            <w:pPr>
              <w:keepNext w:val="0"/>
              <w:keepLines w:val="0"/>
              <w:suppressLineNumbers w:val="0"/>
              <w:spacing w:before="40" w:beforeAutospacing="0" w:after="40" w:afterAutospacing="0"/>
              <w:ind w:left="40" w:right="40"/>
              <w:jc w:val="center"/>
              <w:rPr>
                <w:rFonts w:hint="eastAsia" w:ascii="黑体" w:hAnsi="黑体" w:eastAsia="黑体" w:cs="黑体"/>
                <w:b/>
                <w:color w:val="000000"/>
                <w:sz w:val="32"/>
              </w:rPr>
            </w:pPr>
            <w:r>
              <w:rPr>
                <w:rFonts w:hint="eastAsia" w:ascii="黑体" w:hAnsi="黑体" w:eastAsia="黑体" w:cs="黑体"/>
                <w:b/>
                <w:color w:val="000000"/>
                <w:sz w:val="32"/>
                <w:lang w:eastAsia="zh-CN"/>
              </w:rPr>
              <w:t>报纸印刷</w:t>
            </w:r>
            <w:r>
              <w:rPr>
                <w:rFonts w:hint="eastAsia" w:ascii="黑体" w:hAnsi="黑体" w:eastAsia="黑体" w:cs="黑体"/>
                <w:b/>
                <w:color w:val="000000"/>
                <w:sz w:val="32"/>
              </w:rPr>
              <w:t>项目支出绩效自评表（2022年度）</w:t>
            </w:r>
          </w:p>
        </w:tc>
      </w:tr>
      <w:tr>
        <w:tblPrEx>
          <w:tblCellMar>
            <w:top w:w="0" w:type="dxa"/>
            <w:left w:w="0" w:type="dxa"/>
            <w:bottom w:w="0" w:type="dxa"/>
            <w:right w:w="0" w:type="dxa"/>
          </w:tblCellMar>
        </w:tblPrEx>
        <w:trPr>
          <w:trHeight w:val="424" w:hRule="atLeast"/>
          <w:jc w:val="center"/>
        </w:trPr>
        <w:tc>
          <w:tcPr>
            <w:tcW w:w="9564" w:type="dxa"/>
            <w:gridSpan w:val="7"/>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单位(盖章)：绵阳日报社</w:t>
            </w:r>
          </w:p>
        </w:tc>
        <w:tc>
          <w:tcPr>
            <w:tcW w:w="2154" w:type="dxa"/>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6" w:type="dxa"/>
            <w:gridSpan w:val="3"/>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w:t>
            </w:r>
            <w:r>
              <w:rPr>
                <w:rFonts w:hint="eastAsia" w:ascii="微软雅黑" w:hAnsi="微软雅黑" w:eastAsia="微软雅黑" w:cs="微软雅黑"/>
                <w:color w:val="000000"/>
                <w:sz w:val="18"/>
                <w:lang w:val="en-US" w:eastAsia="zh-CN"/>
              </w:rPr>
              <w:t>9</w:t>
            </w:r>
            <w:r>
              <w:rPr>
                <w:rFonts w:hint="eastAsia" w:ascii="微软雅黑" w:hAnsi="微软雅黑" w:eastAsia="微软雅黑" w:cs="微软雅黑"/>
                <w:color w:val="000000"/>
                <w:sz w:val="18"/>
              </w:rPr>
              <w:t>月</w:t>
            </w:r>
            <w:r>
              <w:rPr>
                <w:rFonts w:hint="eastAsia" w:ascii="微软雅黑" w:hAnsi="微软雅黑" w:eastAsia="微软雅黑" w:cs="微软雅黑"/>
                <w:color w:val="000000"/>
                <w:sz w:val="18"/>
                <w:lang w:val="en-US" w:eastAsia="zh-CN"/>
              </w:rPr>
              <w:t>26</w:t>
            </w:r>
            <w:r>
              <w:rPr>
                <w:rFonts w:hint="eastAsia" w:ascii="微软雅黑" w:hAnsi="微软雅黑" w:eastAsia="微软雅黑" w:cs="微软雅黑"/>
                <w:color w:val="000000"/>
                <w:sz w:val="18"/>
              </w:rPr>
              <w:t>日</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701" w:type="dxa"/>
            <w:gridSpan w:val="9"/>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报纸印刷</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50"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607-绵阳日报社本级部门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绵阳日报社</w:t>
            </w:r>
          </w:p>
        </w:tc>
      </w:tr>
      <w:tr>
        <w:tblPrEx>
          <w:tblCellMar>
            <w:top w:w="0" w:type="dxa"/>
            <w:left w:w="0" w:type="dxa"/>
            <w:bottom w:w="0" w:type="dxa"/>
            <w:right w:w="0" w:type="dxa"/>
          </w:tblCellMar>
        </w:tblPrEx>
        <w:trPr>
          <w:trHeight w:val="453"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950.00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950.00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950.00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预算执行率较低原因：预算执行率：100%。； 预算调整(调增/调减)原因：无预算调整。</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450.00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450.00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450.00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9"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50"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8619" w:type="dxa"/>
            <w:gridSpan w:val="6"/>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完成2022年《绵阳日报》、《绵阳晚报》印刷出版。</w:t>
            </w:r>
          </w:p>
        </w:tc>
        <w:tc>
          <w:tcPr>
            <w:tcW w:w="6350" w:type="dxa"/>
            <w:gridSpan w:val="4"/>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全面完成2022年《绵阳日报》、《绵阳晚报》印刷出版。</w:t>
            </w: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该项目符合法律法规、相关政策、发展规划以及部门职责，项目立项有依据。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该项目是常年项目，申请、设立过程符合相关要求。</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该项目所设绩效目标包含成本、数量、时效、质量、 效益及满意度指标。</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该项目所设定的绩效目标与项目实施的相符情况，并且细化量化，可比可测。</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该项目预算编制与项目内容匹配，预算确定的项目资金量与工作任务相匹配。</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该项目预算资金分配有测算依据，与实际相适应，预算资金分配科学、合理。</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该项目实施单位的财务和业务管理制度健全，能够保障财务和业务管理制度对项目顺利实施。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该项目完成能够达到预期程度。</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该项目资金使用符合相关的财务管理制度规定，项目资金能够做到规范运行。</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该项目能够发挥财务监督职能。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1454"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《绵阳日报》印刷出版成本</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0.16</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0.16</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《绵阳晚报》印刷出版成本</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0.16</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0.16</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《绵阳日报》印刷出版份数</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33125000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张</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33125000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《绵阳晚报》印刷出版份数</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6250000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张</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6250000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完成时间</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质量指标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印刷质量</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可持续影响指标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报纸使用年限</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对工作的促进作用</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好坏</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好</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读者满意度</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总分（折算分值） = “预算执行”10分+“绩效指标”60分（按60分折算）+“决策与过程指标”30分（按30分折算)</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分，自评等次为：优。项目自评得分100分。通过项目实施，保障本部门高质量地完成报纸印刷任务，圆满完成市委、市政府下达的各项宣传任务，为全面建设中国科技城和社会主义现代化绵阳营造了良好的舆论氛围，发挥国有资金的最大使用效率。</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jc w:val="center"/>
        </w:trPr>
        <w:tc>
          <w:tcPr>
            <w:tcW w:w="7749"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项目负责人：曾晶</w:t>
            </w:r>
          </w:p>
        </w:tc>
        <w:tc>
          <w:tcPr>
            <w:tcW w:w="8165"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财务负责人：李姗姗</w:t>
            </w:r>
          </w:p>
        </w:tc>
      </w:tr>
      <w:tr>
        <w:tblPrEx>
          <w:tblCellMar>
            <w:top w:w="0" w:type="dxa"/>
            <w:left w:w="0" w:type="dxa"/>
            <w:bottom w:w="0" w:type="dxa"/>
            <w:right w:w="0" w:type="dxa"/>
          </w:tblCellMar>
        </w:tblPrEx>
        <w:trPr>
          <w:trHeight w:val="425" w:hRule="atLeast"/>
          <w:jc w:val="center"/>
        </w:trPr>
        <w:tc>
          <w:tcPr>
            <w:tcW w:w="94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26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58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381"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24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15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680"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90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60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jc w:val="center"/>
        </w:trPr>
        <w:tc>
          <w:tcPr>
            <w:tcW w:w="15915" w:type="dxa"/>
            <w:gridSpan w:val="11"/>
            <w:vAlign w:val="center"/>
          </w:tcPr>
          <w:p>
            <w:pPr>
              <w:keepNext w:val="0"/>
              <w:keepLines w:val="0"/>
              <w:suppressLineNumbers w:val="0"/>
              <w:spacing w:before="40" w:beforeAutospacing="0" w:after="40" w:afterAutospacing="0"/>
              <w:ind w:left="40" w:right="40"/>
              <w:jc w:val="center"/>
              <w:rPr>
                <w:rFonts w:hint="eastAsia" w:ascii="黑体" w:hAnsi="黑体" w:eastAsia="黑体" w:cs="黑体"/>
                <w:b/>
                <w:color w:val="000000"/>
                <w:sz w:val="32"/>
              </w:rPr>
            </w:pPr>
            <w:r>
              <w:rPr>
                <w:rFonts w:hint="eastAsia" w:ascii="黑体" w:hAnsi="黑体" w:eastAsia="黑体" w:cs="黑体"/>
                <w:b/>
                <w:color w:val="000000"/>
                <w:sz w:val="32"/>
                <w:lang w:eastAsia="zh-CN"/>
              </w:rPr>
              <w:t>报纸发行</w:t>
            </w:r>
            <w:r>
              <w:rPr>
                <w:rFonts w:hint="eastAsia" w:ascii="黑体" w:hAnsi="黑体" w:eastAsia="黑体" w:cs="黑体"/>
                <w:b/>
                <w:color w:val="000000"/>
                <w:sz w:val="32"/>
              </w:rPr>
              <w:t>项目支出绩效自评表（2022年度）</w:t>
            </w:r>
          </w:p>
        </w:tc>
      </w:tr>
      <w:tr>
        <w:tblPrEx>
          <w:tblCellMar>
            <w:top w:w="0" w:type="dxa"/>
            <w:left w:w="0" w:type="dxa"/>
            <w:bottom w:w="0" w:type="dxa"/>
            <w:right w:w="0" w:type="dxa"/>
          </w:tblCellMar>
        </w:tblPrEx>
        <w:trPr>
          <w:trHeight w:val="424" w:hRule="atLeast"/>
          <w:jc w:val="center"/>
        </w:trPr>
        <w:tc>
          <w:tcPr>
            <w:tcW w:w="9564" w:type="dxa"/>
            <w:gridSpan w:val="7"/>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单位(盖章)：绵阳日报社</w:t>
            </w:r>
          </w:p>
        </w:tc>
        <w:tc>
          <w:tcPr>
            <w:tcW w:w="2154" w:type="dxa"/>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6" w:type="dxa"/>
            <w:gridSpan w:val="3"/>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w:t>
            </w:r>
            <w:r>
              <w:rPr>
                <w:rFonts w:hint="eastAsia" w:ascii="微软雅黑" w:hAnsi="微软雅黑" w:eastAsia="微软雅黑" w:cs="微软雅黑"/>
                <w:color w:val="000000"/>
                <w:sz w:val="18"/>
                <w:lang w:val="en-US" w:eastAsia="zh-CN"/>
              </w:rPr>
              <w:t>9</w:t>
            </w:r>
            <w:r>
              <w:rPr>
                <w:rFonts w:hint="eastAsia" w:ascii="微软雅黑" w:hAnsi="微软雅黑" w:eastAsia="微软雅黑" w:cs="微软雅黑"/>
                <w:color w:val="000000"/>
                <w:sz w:val="18"/>
              </w:rPr>
              <w:t>月</w:t>
            </w:r>
            <w:r>
              <w:rPr>
                <w:rFonts w:hint="eastAsia" w:ascii="微软雅黑" w:hAnsi="微软雅黑" w:eastAsia="微软雅黑" w:cs="微软雅黑"/>
                <w:color w:val="000000"/>
                <w:sz w:val="18"/>
                <w:lang w:val="en-US" w:eastAsia="zh-CN"/>
              </w:rPr>
              <w:t>26</w:t>
            </w:r>
            <w:r>
              <w:rPr>
                <w:rFonts w:hint="eastAsia" w:ascii="微软雅黑" w:hAnsi="微软雅黑" w:eastAsia="微软雅黑" w:cs="微软雅黑"/>
                <w:color w:val="000000"/>
                <w:sz w:val="18"/>
              </w:rPr>
              <w:t>日</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701" w:type="dxa"/>
            <w:gridSpan w:val="9"/>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报纸发行</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50"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607-绵阳日报社本级部门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绵阳日报社</w:t>
            </w:r>
          </w:p>
        </w:tc>
      </w:tr>
      <w:tr>
        <w:tblPrEx>
          <w:tblCellMar>
            <w:top w:w="0" w:type="dxa"/>
            <w:left w:w="0" w:type="dxa"/>
            <w:bottom w:w="0" w:type="dxa"/>
            <w:right w:w="0" w:type="dxa"/>
          </w:tblCellMar>
        </w:tblPrEx>
        <w:trPr>
          <w:trHeight w:val="453"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450.00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450.00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409.97</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0.91</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9.11</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预算执行率较低原因：预算执行率：91%； 预算调整(调增/调减)原因：无预算调整。</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159.97</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0.79</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9"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50"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8619" w:type="dxa"/>
            <w:gridSpan w:val="6"/>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完成2022年《绵阳日报》、《绵阳晚报》发行出版。</w:t>
            </w:r>
          </w:p>
        </w:tc>
        <w:tc>
          <w:tcPr>
            <w:tcW w:w="6350" w:type="dxa"/>
            <w:gridSpan w:val="4"/>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全面完成2022年《绵阳日报》、《绵阳晚报》发行出版。</w:t>
            </w: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该项目符合法律法规、相关政策、发展规划以及部门职责，项目立项有依据。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该项目是常年项目，申请、设立过程符合相关要求。</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该项目所设绩效目标包含成本、数量、时效、质量、 效益及满意度指标。</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该项目所设定的绩效目标与项目实施的相符情况，并且细化量化，可比可测。</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该项目预算编制与项目内容匹配，预算确定的项目资金量与工作任务相匹配。</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该项目预算资金分配有测算依据，与实际相适应，预算资金分配科学、合理。</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该项目实施单位的财务和业务管理制度健全，能够保障财务和业务管理制度对项目顺利实施。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该项目完成能够达到预期程度。</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该项目资金使用符合相关的财务管理制度规定，项目资金能够做到规范运行。</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该项目能够发挥财务监督职能。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1454"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《绵阳日报》出版发行成本</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66</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66</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《绵阳晚报》出版发行成本</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《绵阳日报》出版发行份数</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53000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份</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49000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9.24</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受新媒体冲击，纸质媒体发行量下滑。</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《绵阳晚报》出版发行份数</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17100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份</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16000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9.24</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受新媒体冲击，纸质媒体发行量下滑。</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完成时间</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质量指标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准时投递率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可持续影响指标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报纸使用年限</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对工作的促进作用</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好坏</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好</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读者满意度</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88</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总分（折算分值） = “预算执行”10分+“绩效指标”60分（按60分折算）+“决策与过程指标”30分（按30分折算)</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98分，自评等次为：优。项目自评得分98分。通过项目实施，保障本部门完成全年报纸发行任务，保证党委、政府的声音得到及时有力传递，发挥国有资金的最大使用效率。</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年初申报预算不够精准。</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加强项目预算编制的精准力度。</w:t>
            </w:r>
          </w:p>
        </w:tc>
      </w:tr>
      <w:tr>
        <w:tblPrEx>
          <w:tblCellMar>
            <w:top w:w="0" w:type="dxa"/>
            <w:left w:w="0" w:type="dxa"/>
            <w:bottom w:w="0" w:type="dxa"/>
            <w:right w:w="0" w:type="dxa"/>
          </w:tblCellMar>
        </w:tblPrEx>
        <w:trPr>
          <w:trHeight w:val="425" w:hRule="atLeast"/>
          <w:jc w:val="center"/>
        </w:trPr>
        <w:tc>
          <w:tcPr>
            <w:tcW w:w="7749"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项目负责人：曾晶</w:t>
            </w:r>
          </w:p>
        </w:tc>
        <w:tc>
          <w:tcPr>
            <w:tcW w:w="8165"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财务负责人：李姗姗</w:t>
            </w:r>
          </w:p>
        </w:tc>
      </w:tr>
      <w:tr>
        <w:tblPrEx>
          <w:tblCellMar>
            <w:top w:w="0" w:type="dxa"/>
            <w:left w:w="0" w:type="dxa"/>
            <w:bottom w:w="0" w:type="dxa"/>
            <w:right w:w="0" w:type="dxa"/>
          </w:tblCellMar>
        </w:tblPrEx>
        <w:trPr>
          <w:trHeight w:val="425" w:hRule="atLeast"/>
          <w:jc w:val="center"/>
        </w:trPr>
        <w:tc>
          <w:tcPr>
            <w:tcW w:w="94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26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58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381"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24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15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680"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90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60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jc w:val="center"/>
        </w:trPr>
        <w:tc>
          <w:tcPr>
            <w:tcW w:w="15915" w:type="dxa"/>
            <w:gridSpan w:val="11"/>
            <w:vAlign w:val="center"/>
          </w:tcPr>
          <w:p>
            <w:pPr>
              <w:keepNext w:val="0"/>
              <w:keepLines w:val="0"/>
              <w:suppressLineNumbers w:val="0"/>
              <w:spacing w:before="40" w:beforeAutospacing="0" w:after="40" w:afterAutospacing="0"/>
              <w:ind w:left="40" w:right="40"/>
              <w:jc w:val="center"/>
              <w:rPr>
                <w:rFonts w:hint="eastAsia" w:ascii="黑体" w:hAnsi="黑体" w:eastAsia="黑体" w:cs="黑体"/>
                <w:b/>
                <w:color w:val="000000"/>
                <w:sz w:val="32"/>
              </w:rPr>
            </w:pPr>
            <w:r>
              <w:rPr>
                <w:rFonts w:hint="eastAsia" w:ascii="黑体" w:hAnsi="黑体" w:eastAsia="黑体" w:cs="黑体"/>
                <w:b/>
                <w:color w:val="000000"/>
                <w:sz w:val="32"/>
                <w:lang w:eastAsia="zh-CN"/>
              </w:rPr>
              <w:t>文明城市建设经费</w:t>
            </w:r>
            <w:r>
              <w:rPr>
                <w:rFonts w:hint="eastAsia" w:ascii="黑体" w:hAnsi="黑体" w:eastAsia="黑体" w:cs="黑体"/>
                <w:b/>
                <w:color w:val="000000"/>
                <w:sz w:val="32"/>
              </w:rPr>
              <w:t>项目支出绩效自评表（2022年度）</w:t>
            </w:r>
          </w:p>
        </w:tc>
      </w:tr>
      <w:tr>
        <w:tblPrEx>
          <w:tblCellMar>
            <w:top w:w="0" w:type="dxa"/>
            <w:left w:w="0" w:type="dxa"/>
            <w:bottom w:w="0" w:type="dxa"/>
            <w:right w:w="0" w:type="dxa"/>
          </w:tblCellMar>
        </w:tblPrEx>
        <w:trPr>
          <w:trHeight w:val="424" w:hRule="atLeast"/>
          <w:jc w:val="center"/>
        </w:trPr>
        <w:tc>
          <w:tcPr>
            <w:tcW w:w="9564" w:type="dxa"/>
            <w:gridSpan w:val="7"/>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单位(盖章)：绵阳日报社</w:t>
            </w:r>
          </w:p>
        </w:tc>
        <w:tc>
          <w:tcPr>
            <w:tcW w:w="2154" w:type="dxa"/>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6" w:type="dxa"/>
            <w:gridSpan w:val="3"/>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w:t>
            </w:r>
            <w:r>
              <w:rPr>
                <w:rFonts w:hint="eastAsia" w:ascii="微软雅黑" w:hAnsi="微软雅黑" w:eastAsia="微软雅黑" w:cs="微软雅黑"/>
                <w:color w:val="000000"/>
                <w:sz w:val="18"/>
                <w:lang w:val="en-US" w:eastAsia="zh-CN"/>
              </w:rPr>
              <w:t>9</w:t>
            </w:r>
            <w:r>
              <w:rPr>
                <w:rFonts w:hint="eastAsia" w:ascii="微软雅黑" w:hAnsi="微软雅黑" w:eastAsia="微软雅黑" w:cs="微软雅黑"/>
                <w:color w:val="000000"/>
                <w:sz w:val="18"/>
              </w:rPr>
              <w:t>月</w:t>
            </w:r>
            <w:r>
              <w:rPr>
                <w:rFonts w:hint="eastAsia" w:ascii="微软雅黑" w:hAnsi="微软雅黑" w:eastAsia="微软雅黑" w:cs="微软雅黑"/>
                <w:color w:val="000000"/>
                <w:sz w:val="18"/>
                <w:lang w:val="en-US" w:eastAsia="zh-CN"/>
              </w:rPr>
              <w:t>26</w:t>
            </w:r>
            <w:r>
              <w:rPr>
                <w:rFonts w:hint="eastAsia" w:ascii="微软雅黑" w:hAnsi="微软雅黑" w:eastAsia="微软雅黑" w:cs="微软雅黑"/>
                <w:color w:val="000000"/>
                <w:sz w:val="18"/>
              </w:rPr>
              <w:t>日</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701" w:type="dxa"/>
            <w:gridSpan w:val="9"/>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文明城市建设经费</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50"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607-绵阳日报社本级部门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绵阳日报社</w:t>
            </w:r>
          </w:p>
        </w:tc>
      </w:tr>
      <w:tr>
        <w:tblPrEx>
          <w:tblCellMar>
            <w:top w:w="0" w:type="dxa"/>
            <w:left w:w="0" w:type="dxa"/>
            <w:bottom w:w="0" w:type="dxa"/>
            <w:right w:w="0" w:type="dxa"/>
          </w:tblCellMar>
        </w:tblPrEx>
        <w:trPr>
          <w:trHeight w:val="453"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预算执行率较低原因：预算执行率：100%。； 预算调整(调增/调减)原因：年中预算追加。根据2022年召开的市文明委会议，确定2022年文明城市创建宣传任务。</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9"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50"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8619" w:type="dxa"/>
            <w:gridSpan w:val="6"/>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通过开展文明城市创建宣传，既做到宣传我市文明城市建设的举措与亮点，营造全城全民共创共建共享氛围。</w:t>
            </w:r>
          </w:p>
        </w:tc>
        <w:tc>
          <w:tcPr>
            <w:tcW w:w="6350" w:type="dxa"/>
            <w:gridSpan w:val="4"/>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绵阳在全国文明城市“四连冠”的基础上，瞄准新目标，踏上创建全国文明城市的新征程。创新宣传形式，深挖绵阳文明城市创建亮点，按照文明城市测评体系要求，如期完成全面宣传报道任务。</w:t>
            </w: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该项目符合法律法规、相关政策、发展规划以及部门职责，项目立项有依据。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该项目申请、设立过程符合相关要求。</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该项目所设绩效目标包含成本、数量、时效、质量、 效益及满意度指标。</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该项目所设定的绩效目标与项目实施的相符情况，并且细化量化，可比可测。</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该项目预算编制与项目内容匹配，预算确定的项目资金量与工作任务相匹配。</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该项目预算资金分配有测算依据，与实际相适应，预算资金分配科学、合理。</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该项目实施单位的财务和业务管理制度健全，能够保障财务和业务管理制度对项目顺利实施。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该项目完成能够达到预期程度。</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该项目资金使用符合相关的财务管理制度规定，项目资金能够做到规范运行。</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该项目能够发挥财务监督职能。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1454"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文明城市创建宣传专项经费</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万元</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各类专栏稿件</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次</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完成时间</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宣传文明城市举措成效</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百分比</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读者满意度指标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测评体系</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95</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百分比</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95</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总分（折算分值） = “预算执行”10分+“绩效指标”60分（按60分折算）+“决策与过程指标”30分（按30分折算)</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分，自评等次为：优。项目自评得分100分。通过项目实施，全面准确把握文明城市创建宣传主线，紧紧围绕时间节点、目标任务，大力推进、持续跟进每类文明城市创建指标宣传报道，深挖绵阳文明城市亮点，突出绵阳创建特色，确保宣传人物不缺项、不漏项，发挥财政资金的最大使用效率。</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文明城市创建常态化宣传呈现多点开花，但是在经验类、亮点类报道上还需要深挖，要进一步创新宣传报道形式。</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多推出有深度、有温度的绵阳经验性报道，以及要及时跟紧全国、全省创建要求变化，变更报道方向。</w:t>
            </w:r>
          </w:p>
        </w:tc>
      </w:tr>
      <w:tr>
        <w:tblPrEx>
          <w:tblCellMar>
            <w:top w:w="0" w:type="dxa"/>
            <w:left w:w="0" w:type="dxa"/>
            <w:bottom w:w="0" w:type="dxa"/>
            <w:right w:w="0" w:type="dxa"/>
          </w:tblCellMar>
        </w:tblPrEx>
        <w:trPr>
          <w:trHeight w:val="425" w:hRule="atLeast"/>
          <w:jc w:val="center"/>
        </w:trPr>
        <w:tc>
          <w:tcPr>
            <w:tcW w:w="7749"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项目负责人：郭若雪</w:t>
            </w:r>
          </w:p>
        </w:tc>
        <w:tc>
          <w:tcPr>
            <w:tcW w:w="8165"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财务负责人：李姗姗</w:t>
            </w:r>
          </w:p>
        </w:tc>
      </w:tr>
      <w:tr>
        <w:tblPrEx>
          <w:tblCellMar>
            <w:top w:w="0" w:type="dxa"/>
            <w:left w:w="0" w:type="dxa"/>
            <w:bottom w:w="0" w:type="dxa"/>
            <w:right w:w="0" w:type="dxa"/>
          </w:tblCellMar>
        </w:tblPrEx>
        <w:trPr>
          <w:trHeight w:val="425" w:hRule="atLeast"/>
          <w:jc w:val="center"/>
        </w:trPr>
        <w:tc>
          <w:tcPr>
            <w:tcW w:w="94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26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58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381"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24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15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680"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90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60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jc w:val="center"/>
        </w:trPr>
        <w:tc>
          <w:tcPr>
            <w:tcW w:w="15915" w:type="dxa"/>
            <w:gridSpan w:val="11"/>
            <w:vAlign w:val="center"/>
          </w:tcPr>
          <w:p>
            <w:pPr>
              <w:keepNext w:val="0"/>
              <w:keepLines w:val="0"/>
              <w:suppressLineNumbers w:val="0"/>
              <w:spacing w:before="40" w:beforeAutospacing="0" w:after="40" w:afterAutospacing="0"/>
              <w:ind w:left="40" w:right="40"/>
              <w:jc w:val="center"/>
              <w:rPr>
                <w:rFonts w:hint="eastAsia" w:ascii="黑体" w:hAnsi="黑体" w:eastAsia="黑体" w:cs="黑体"/>
                <w:b/>
                <w:color w:val="000000"/>
                <w:sz w:val="32"/>
              </w:rPr>
            </w:pPr>
            <w:r>
              <w:rPr>
                <w:rFonts w:hint="eastAsia" w:ascii="黑体" w:hAnsi="黑体" w:eastAsia="黑体" w:cs="黑体"/>
                <w:b/>
                <w:color w:val="000000"/>
                <w:sz w:val="32"/>
                <w:lang w:eastAsia="zh-CN"/>
              </w:rPr>
              <w:t>绵阳融媒体大数据中心</w:t>
            </w:r>
            <w:r>
              <w:rPr>
                <w:rFonts w:hint="eastAsia" w:ascii="黑体" w:hAnsi="黑体" w:eastAsia="黑体" w:cs="黑体"/>
                <w:b/>
                <w:color w:val="000000"/>
                <w:sz w:val="32"/>
              </w:rPr>
              <w:t>项目支出绩效自评表（2022年度）</w:t>
            </w:r>
          </w:p>
        </w:tc>
      </w:tr>
      <w:tr>
        <w:tblPrEx>
          <w:tblCellMar>
            <w:top w:w="0" w:type="dxa"/>
            <w:left w:w="0" w:type="dxa"/>
            <w:bottom w:w="0" w:type="dxa"/>
            <w:right w:w="0" w:type="dxa"/>
          </w:tblCellMar>
        </w:tblPrEx>
        <w:trPr>
          <w:trHeight w:val="424" w:hRule="atLeast"/>
          <w:jc w:val="center"/>
        </w:trPr>
        <w:tc>
          <w:tcPr>
            <w:tcW w:w="9564" w:type="dxa"/>
            <w:gridSpan w:val="7"/>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单位(盖章)：绵阳日报社</w:t>
            </w:r>
          </w:p>
        </w:tc>
        <w:tc>
          <w:tcPr>
            <w:tcW w:w="2154" w:type="dxa"/>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6" w:type="dxa"/>
            <w:gridSpan w:val="3"/>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w:t>
            </w:r>
            <w:r>
              <w:rPr>
                <w:rFonts w:hint="eastAsia" w:ascii="微软雅黑" w:hAnsi="微软雅黑" w:eastAsia="微软雅黑" w:cs="微软雅黑"/>
                <w:color w:val="000000"/>
                <w:sz w:val="18"/>
                <w:lang w:val="en-US" w:eastAsia="zh-CN"/>
              </w:rPr>
              <w:t>9</w:t>
            </w:r>
            <w:r>
              <w:rPr>
                <w:rFonts w:hint="eastAsia" w:ascii="微软雅黑" w:hAnsi="微软雅黑" w:eastAsia="微软雅黑" w:cs="微软雅黑"/>
                <w:color w:val="000000"/>
                <w:sz w:val="18"/>
              </w:rPr>
              <w:t>月</w:t>
            </w:r>
            <w:r>
              <w:rPr>
                <w:rFonts w:hint="eastAsia" w:ascii="微软雅黑" w:hAnsi="微软雅黑" w:eastAsia="微软雅黑" w:cs="微软雅黑"/>
                <w:color w:val="000000"/>
                <w:sz w:val="18"/>
                <w:lang w:val="en-US" w:eastAsia="zh-CN"/>
              </w:rPr>
              <w:t>26</w:t>
            </w:r>
            <w:bookmarkStart w:id="0" w:name="_GoBack"/>
            <w:bookmarkEnd w:id="0"/>
            <w:r>
              <w:rPr>
                <w:rFonts w:hint="eastAsia" w:ascii="微软雅黑" w:hAnsi="微软雅黑" w:eastAsia="微软雅黑" w:cs="微软雅黑"/>
                <w:color w:val="000000"/>
                <w:sz w:val="18"/>
              </w:rPr>
              <w:t>日</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701" w:type="dxa"/>
            <w:gridSpan w:val="9"/>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绵阳融媒体大数据中心</w:t>
            </w:r>
          </w:p>
        </w:tc>
      </w:tr>
      <w:tr>
        <w:tblPrEx>
          <w:tblCellMar>
            <w:top w:w="0" w:type="dxa"/>
            <w:left w:w="0" w:type="dxa"/>
            <w:bottom w:w="0" w:type="dxa"/>
            <w:right w:w="0" w:type="dxa"/>
          </w:tblCellMar>
        </w:tblPrEx>
        <w:trPr>
          <w:trHeight w:val="424"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50"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607-绵阳日报社本级部门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绵阳日报社</w:t>
            </w:r>
          </w:p>
        </w:tc>
      </w:tr>
      <w:tr>
        <w:tblPrEx>
          <w:tblCellMar>
            <w:top w:w="0" w:type="dxa"/>
            <w:left w:w="0" w:type="dxa"/>
            <w:bottom w:w="0" w:type="dxa"/>
            <w:right w:w="0" w:type="dxa"/>
          </w:tblCellMar>
        </w:tblPrEx>
        <w:trPr>
          <w:trHeight w:val="453"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8.70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8.70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预算执行率较低原因：预算执行率：100%。； 预算调整(调增/调减)原因：该项目为跨年项目。</w:t>
            </w: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8.70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8.70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53"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1" w:lineRule="exact"/>
              <w:ind w:left="0" w:right="0"/>
              <w:rPr>
                <w:rFonts w:hint="default"/>
              </w:rPr>
            </w:pP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9"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50"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8619" w:type="dxa"/>
            <w:gridSpan w:val="6"/>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通过本项目的建设，有助于新闻生产、选题策划等业务、增强报社对媒体信息的数据分析应用能力，提升新闻生产质量、发布效率，提升各媒体平台的传播力、影响力。</w:t>
            </w:r>
          </w:p>
        </w:tc>
        <w:tc>
          <w:tcPr>
            <w:tcW w:w="6350" w:type="dxa"/>
            <w:gridSpan w:val="4"/>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为跨年度项目，于2022年全面完成项目建设。该项目的建成促进了新闻生产、选题策划等业务、增强了报社对媒体信息的数据分析应用能力，提升了新闻生产质量、发布效率，提升了各媒体平台的传播力、影响力。</w:t>
            </w:r>
          </w:p>
        </w:tc>
      </w:tr>
      <w:tr>
        <w:tblPrEx>
          <w:tblCellMar>
            <w:top w:w="0" w:type="dxa"/>
            <w:left w:w="0" w:type="dxa"/>
            <w:bottom w:w="0" w:type="dxa"/>
            <w:right w:w="0" w:type="dxa"/>
          </w:tblCellMar>
        </w:tblPrEx>
        <w:trPr>
          <w:trHeight w:val="425"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该项目符合法律法规、相关政策、发展规划以及部门职责，项目立项有依据。</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该项目为跨年项目，项目申请、设立过程符合相关要求。</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该项目所设绩效目标包含成本、数量、时效、质量、 效益及满意度指标。</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该项目所设定的绩效目标与项目实施的相符情况，并且细化量化，可比可测。</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该项目预算编制与项目内容匹配，预算确定的项目资金量与工作任务相匹配。</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该项目预算资金分配有测算依据，与实际相适应，预算资金分配科学、合理。</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该项目实施单位的财务和业务管理制度健全，能够保障财务和业务管理制度对项目顺利实施。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该项目完成能够达到预期程度。</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该项目资金使用符合相关的财务管理制度规定，项目资金能够做到规范运行。</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该项目能够发挥财务监督职能。</w:t>
            </w:r>
          </w:p>
        </w:tc>
      </w:tr>
      <w:tr>
        <w:tblPrEx>
          <w:tblCellMar>
            <w:top w:w="0" w:type="dxa"/>
            <w:left w:w="0" w:type="dxa"/>
            <w:bottom w:w="0" w:type="dxa"/>
            <w:right w:w="0" w:type="dxa"/>
          </w:tblCellMar>
        </w:tblPrEx>
        <w:trPr>
          <w:trHeight w:val="425"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1454"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3213"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jc w:val="center"/>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市融媒体大数据中心项目尾款</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87000</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87000</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绵阳市融媒体大数据中心</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套</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完成时间</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质量指标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采集利用数据效果</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百分比</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对工作有促进作用</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百分比</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jc w:val="center"/>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1" w:lineRule="exact"/>
              <w:ind w:left="0" w:right="0"/>
              <w:rPr>
                <w:rFonts w:hint="default"/>
              </w:rPr>
            </w:pPr>
          </w:p>
        </w:tc>
        <w:tc>
          <w:tcPr>
            <w:tcW w:w="226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使用者满意度</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56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百分比</w:t>
            </w:r>
          </w:p>
        </w:tc>
        <w:tc>
          <w:tcPr>
            <w:tcW w:w="215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98</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jc w:val="center"/>
        </w:trPr>
        <w:tc>
          <w:tcPr>
            <w:tcW w:w="11718"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总分（折算分值） = “预算执行”10分+“绩效指标”60分（按60分折算）+“决策与过程指标”30分（按30分折算)</w:t>
            </w:r>
          </w:p>
        </w:tc>
        <w:tc>
          <w:tcPr>
            <w:tcW w:w="68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分，自评等次为：优。该项目为跨年项目，2022年全面完成项目建设，项目自评得分100分。融媒体大数据中心系统建成以来，每日通过融媒体大数据中心系统定时抓取国内各大新闻媒体热点新闻及涉绵报道，同时还通过融媒体大数据中心系统，实时监测报社新媒体各平台的浏览量、访客量、跳出率等数据，为新媒体生产提供参考，提升各媒体平台的传播力、影响力，目前融媒体大数据中心系统共收集49亿条，发挥财政资金的最大使用效率。</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融媒体大数据中心系统收集数据信息还不够便利。</w:t>
            </w:r>
          </w:p>
        </w:tc>
      </w:tr>
      <w:tr>
        <w:tblPrEx>
          <w:tblCellMar>
            <w:top w:w="0" w:type="dxa"/>
            <w:left w:w="0" w:type="dxa"/>
            <w:bottom w:w="0" w:type="dxa"/>
            <w:right w:w="0" w:type="dxa"/>
          </w:tblCellMar>
        </w:tblPrEx>
        <w:trPr>
          <w:trHeight w:val="680" w:hRule="atLeast"/>
          <w:jc w:val="center"/>
        </w:trPr>
        <w:tc>
          <w:tcPr>
            <w:tcW w:w="94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70" w:type="dxa"/>
            <w:gridSpan w:val="10"/>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对融媒体大数据中心系统做出及时调整与改进，持续更新完善大数据系统。</w:t>
            </w:r>
          </w:p>
        </w:tc>
      </w:tr>
      <w:tr>
        <w:tblPrEx>
          <w:tblCellMar>
            <w:top w:w="0" w:type="dxa"/>
            <w:left w:w="0" w:type="dxa"/>
            <w:bottom w:w="0" w:type="dxa"/>
            <w:right w:w="0" w:type="dxa"/>
          </w:tblCellMar>
        </w:tblPrEx>
        <w:trPr>
          <w:trHeight w:val="425" w:hRule="atLeast"/>
          <w:jc w:val="center"/>
        </w:trPr>
        <w:tc>
          <w:tcPr>
            <w:tcW w:w="7749"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项目负责人：江涛</w:t>
            </w:r>
          </w:p>
        </w:tc>
        <w:tc>
          <w:tcPr>
            <w:tcW w:w="8165"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40" w:beforeAutospacing="0" w:after="40" w:afterAutospacing="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财务负责人：李姗姗</w:t>
            </w:r>
          </w:p>
        </w:tc>
      </w:tr>
      <w:tr>
        <w:tblPrEx>
          <w:tblCellMar>
            <w:top w:w="0" w:type="dxa"/>
            <w:left w:w="0" w:type="dxa"/>
            <w:bottom w:w="0" w:type="dxa"/>
            <w:right w:w="0" w:type="dxa"/>
          </w:tblCellMar>
        </w:tblPrEx>
        <w:trPr>
          <w:trHeight w:val="425" w:hRule="atLeast"/>
          <w:jc w:val="center"/>
        </w:trPr>
        <w:tc>
          <w:tcPr>
            <w:tcW w:w="94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26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58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381"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124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56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154"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680"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907"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c>
          <w:tcPr>
            <w:tcW w:w="2608" w:type="dxa"/>
            <w:vAlign w:val="top"/>
          </w:tcPr>
          <w:p>
            <w:pPr>
              <w:keepNext w:val="0"/>
              <w:keepLines w:val="0"/>
              <w:suppressLineNumbers w:val="0"/>
              <w:spacing w:before="40" w:beforeAutospacing="0" w:after="40" w:afterAutospacing="0"/>
              <w:ind w:left="40" w:right="40"/>
              <w:jc w:val="left"/>
              <w:rPr>
                <w:rFonts w:hint="eastAsia" w:ascii="Arial" w:hAnsi="Arial" w:eastAsia="Arial" w:cs="Arial"/>
                <w:color w:val="000000"/>
                <w:sz w:val="18"/>
              </w:rPr>
            </w:pPr>
          </w:p>
        </w:tc>
      </w:tr>
    </w:tbl>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rPr>
      </w:pPr>
    </w:p>
    <w:p>
      <w:pPr>
        <w:tabs>
          <w:tab w:val="left" w:pos="1003"/>
        </w:tabs>
        <w:bidi w:val="0"/>
        <w:jc w:val="left"/>
        <w:rPr>
          <w:rFonts w:hint="eastAsia" w:ascii="黑体" w:hAnsi="黑体" w:eastAsia="黑体" w:cs="黑体"/>
          <w:b/>
          <w:color w:val="000000"/>
          <w:sz w:val="24"/>
          <w:lang w:eastAsia="zh-CN"/>
        </w:rPr>
      </w:pPr>
    </w:p>
    <w:sectPr>
      <w:footerReference r:id="rId3" w:type="default"/>
      <w:pgSz w:w="16837" w:h="11905" w:orient="landscape"/>
      <w:pgMar w:top="283" w:right="283" w:bottom="283" w:left="283"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1"/>
  <w:bordersDoNotSurroundFooter w:val="1"/>
  <w:documentProtection w:enforcement="0"/>
  <w:displayHorizontalDrawingGridEvery w:val="0"/>
  <w:displayVerticalDrawingGridEvery w:val="2"/>
  <w:compat>
    <w:balanceSingleByteDoubleByteWidth/>
    <w:doNotExpandShiftReturn/>
    <w:adjustLineHeightInTable/>
    <w:useFELayout/>
    <w:doNotUseIndentAsNumberingTabStop/>
    <w:compatSetting w:name="compatibilityMode" w:uri="http://schemas.microsoft.com/office/word" w:val="14"/>
  </w:compat>
  <w:docVars>
    <w:docVar w:name="commondata" w:val="eyJoZGlkIjoiYzhjNTZjMzk0YjNiMjZiODk4Y2M3ZGJlMTljY2ZiODgifQ=="/>
  </w:docVars>
  <w:rsids>
    <w:rsidRoot w:val="00000000"/>
    <w:rsid w:val="00F663A1"/>
    <w:rsid w:val="02773802"/>
    <w:rsid w:val="079E0D8E"/>
    <w:rsid w:val="090D69E6"/>
    <w:rsid w:val="0D750D93"/>
    <w:rsid w:val="10393387"/>
    <w:rsid w:val="11CB0F7D"/>
    <w:rsid w:val="12705335"/>
    <w:rsid w:val="13E81662"/>
    <w:rsid w:val="178C31AD"/>
    <w:rsid w:val="1AA56C42"/>
    <w:rsid w:val="1AD47792"/>
    <w:rsid w:val="1B8D49C2"/>
    <w:rsid w:val="1BC34E9C"/>
    <w:rsid w:val="1BCB74CE"/>
    <w:rsid w:val="1C177CF5"/>
    <w:rsid w:val="1DC73C9B"/>
    <w:rsid w:val="1FB433B5"/>
    <w:rsid w:val="21060EBB"/>
    <w:rsid w:val="229A37FF"/>
    <w:rsid w:val="22B6537E"/>
    <w:rsid w:val="24301E1E"/>
    <w:rsid w:val="25652A69"/>
    <w:rsid w:val="269B1B9E"/>
    <w:rsid w:val="26E2325A"/>
    <w:rsid w:val="2794527C"/>
    <w:rsid w:val="29C65A93"/>
    <w:rsid w:val="2A0D7212"/>
    <w:rsid w:val="2A66603A"/>
    <w:rsid w:val="2AD20B48"/>
    <w:rsid w:val="2B721E16"/>
    <w:rsid w:val="2D9B4590"/>
    <w:rsid w:val="2E051D0E"/>
    <w:rsid w:val="2E6B07B8"/>
    <w:rsid w:val="2FB46505"/>
    <w:rsid w:val="317C228B"/>
    <w:rsid w:val="385C5ABD"/>
    <w:rsid w:val="39445D84"/>
    <w:rsid w:val="39CA501E"/>
    <w:rsid w:val="3C785F45"/>
    <w:rsid w:val="3D3C1506"/>
    <w:rsid w:val="3F0D231B"/>
    <w:rsid w:val="3F0F697E"/>
    <w:rsid w:val="427E5CD5"/>
    <w:rsid w:val="43104162"/>
    <w:rsid w:val="44576A72"/>
    <w:rsid w:val="44D74676"/>
    <w:rsid w:val="451510B8"/>
    <w:rsid w:val="454A715B"/>
    <w:rsid w:val="459E0546"/>
    <w:rsid w:val="4714457E"/>
    <w:rsid w:val="47F13755"/>
    <w:rsid w:val="48F77743"/>
    <w:rsid w:val="494552C4"/>
    <w:rsid w:val="49756153"/>
    <w:rsid w:val="4A9563B7"/>
    <w:rsid w:val="4B3D5B6C"/>
    <w:rsid w:val="4B421171"/>
    <w:rsid w:val="4B76442C"/>
    <w:rsid w:val="4BF92F26"/>
    <w:rsid w:val="4CB94B39"/>
    <w:rsid w:val="4CE13531"/>
    <w:rsid w:val="4FB97F09"/>
    <w:rsid w:val="506C277D"/>
    <w:rsid w:val="50921C16"/>
    <w:rsid w:val="50B761DC"/>
    <w:rsid w:val="510A79DB"/>
    <w:rsid w:val="51797438"/>
    <w:rsid w:val="51D756D4"/>
    <w:rsid w:val="521F0ECA"/>
    <w:rsid w:val="52E072AC"/>
    <w:rsid w:val="5368282A"/>
    <w:rsid w:val="53990737"/>
    <w:rsid w:val="54CB198F"/>
    <w:rsid w:val="55966EF8"/>
    <w:rsid w:val="570D374C"/>
    <w:rsid w:val="58343EDA"/>
    <w:rsid w:val="59363793"/>
    <w:rsid w:val="5A3E219F"/>
    <w:rsid w:val="5C060C91"/>
    <w:rsid w:val="5C987A6F"/>
    <w:rsid w:val="5D5B1A1C"/>
    <w:rsid w:val="5D624E0D"/>
    <w:rsid w:val="5D9B1436"/>
    <w:rsid w:val="61244BC8"/>
    <w:rsid w:val="61320103"/>
    <w:rsid w:val="61505D6B"/>
    <w:rsid w:val="63CA24DC"/>
    <w:rsid w:val="64C14E5C"/>
    <w:rsid w:val="67B93224"/>
    <w:rsid w:val="67EA764D"/>
    <w:rsid w:val="67EE39C5"/>
    <w:rsid w:val="68121987"/>
    <w:rsid w:val="68D811D6"/>
    <w:rsid w:val="68DC1286"/>
    <w:rsid w:val="69B058E5"/>
    <w:rsid w:val="6A3C49B0"/>
    <w:rsid w:val="6A9070BC"/>
    <w:rsid w:val="6AC01896"/>
    <w:rsid w:val="6AFB5005"/>
    <w:rsid w:val="6B7F7A5C"/>
    <w:rsid w:val="6C1B3E73"/>
    <w:rsid w:val="6CAA18AC"/>
    <w:rsid w:val="6D4F3FBE"/>
    <w:rsid w:val="6DEE5496"/>
    <w:rsid w:val="6F493CBE"/>
    <w:rsid w:val="719466CB"/>
    <w:rsid w:val="733E031E"/>
    <w:rsid w:val="73EB6821"/>
    <w:rsid w:val="745A2C1F"/>
    <w:rsid w:val="7508128B"/>
    <w:rsid w:val="752D33CD"/>
    <w:rsid w:val="75995495"/>
    <w:rsid w:val="76426BAA"/>
    <w:rsid w:val="77894AF2"/>
    <w:rsid w:val="786D5015"/>
    <w:rsid w:val="7C225EB9"/>
    <w:rsid w:val="7F140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HiddenStyleName"/>
    <w:qFormat/>
    <w:uiPriority w:val="0"/>
    <w:pPr>
      <w:pBdr>
        <w:top w:val="none" w:color="000000" w:sz="0" w:space="0"/>
        <w:left w:val="none" w:color="000000" w:sz="0" w:space="0"/>
        <w:bottom w:val="none" w:color="000000" w:sz="0" w:space="0"/>
        <w:right w:val="none" w:color="000000" w:sz="0" w:space="0"/>
      </w:pBdr>
      <w:ind w:left="720"/>
      <w:jc w:val="both"/>
    </w:pPr>
    <w:rPr>
      <w:rFonts w:hint="eastAsia" w:ascii="Arial" w:hAnsi="Arial" w:eastAsia="Arial" w:cs="Arial"/>
      <w:color w:val="000000"/>
      <w:sz w:val="2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2023-07-17T08:43:00Z</dcterms:created>
  <dc:creator>ASP.NET v4.0 Classic</dc:creator>
  <cp:lastModifiedBy>Administrator</cp:lastModifiedBy>
  <cp:lastPrinted>2023-07-18T01:51:00Z</cp:lastPrinted>
  <dcterms:modified xsi:type="dcterms:W3CDTF">2023-09-25T02:04:12Z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D86196F9B497450DA90D0C2D4FD026AF</vt:lpwstr>
  </property>
</Properties>
</file>