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绵阳日报社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整体支出绩效评价得分明细表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156"/>
        <w:gridCol w:w="1577"/>
        <w:gridCol w:w="3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5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2021年评价指标体系</w:t>
            </w:r>
          </w:p>
        </w:tc>
        <w:tc>
          <w:tcPr>
            <w:tcW w:w="3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单位自评得分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一级指标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4"/>
                <w:szCs w:val="14"/>
              </w:rPr>
              <w:t>二级指标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4"/>
                <w:szCs w:val="14"/>
              </w:rPr>
              <w:t>三级指标</w:t>
            </w:r>
          </w:p>
        </w:tc>
        <w:tc>
          <w:tcPr>
            <w:tcW w:w="3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部门预算管理（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54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21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预算编制（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17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编制完整（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3分）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目标制定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5分）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编制准确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9分）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8.02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预算执行（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19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支出规范（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5分）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支出控制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5分）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动态调整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9分）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完成结果（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18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预算完成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10分）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8.61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目标完成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6分）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违规记录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综合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管理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36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非税收入管理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政策执行（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2分）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及时更新（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2分）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收入解缴（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4分）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政府采购管理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预算管理（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4分）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采购实施（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4分）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资产管理（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8分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配置使用管理（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6分）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收益核算（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内控制度管理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制度建设（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5分）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制度执行（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3分）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三公经费管理（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4分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预算编制执行（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4分）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绩效结果应用（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10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信息公开（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预算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公开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2分）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决算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公开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2分）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整改反馈（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分）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结果整改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分）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</w:rPr>
              <w:t>应用反馈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分）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3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eastAsia="zh-CN"/>
              </w:rPr>
              <w:t>合计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"/>
                <w:kern w:val="0"/>
                <w:sz w:val="14"/>
                <w:szCs w:val="14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0"/>
                <w:sz w:val="14"/>
                <w:szCs w:val="14"/>
                <w:lang w:val="en-US" w:eastAsia="zh-CN"/>
              </w:rPr>
              <w:t>80.25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DBlNjQwNzU3MDUyNzUzNjgxOTAwOTc0MDQ0ZDMifQ=="/>
  </w:docVars>
  <w:rsids>
    <w:rsidRoot w:val="6A053DC6"/>
    <w:rsid w:val="6A05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Calibri" w:hAnsi="Calibri" w:cs="Times New Roman"/>
      <w:b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2022-09-23T02:36:00Z</dcterms:created>
  <dc:creator>Administrator</dc:creator>
  <cp:lastModifiedBy>Administrator</cp:lastModifiedBy>
  <dcterms:modified xsi:type="dcterms:W3CDTF">2022-09-23T02:37:34Z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41F5A0205F1B4CFD919D5AE139D6BD19</vt:lpwstr>
  </property>
</Properties>
</file>